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0DDA67DF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SENNARIOLO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SENNARIOLO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09078 SENNARIOLO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Patrimonio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AREA TECNICA SINIS PAOLO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4891" w:type="pct"/>
        <w:shd w:val="clear" w:color="auto" w:fill="CCCCCC"/>
        <w:tblLook w:val="0000" w:firstRow="0" w:lastRow="0" w:firstColumn="0" w:lastColumn="0" w:noHBand="0" w:noVBand="0"/>
      </w:tblPr>
      <w:tblGrid>
        <w:gridCol w:w="1961"/>
        <w:gridCol w:w="28"/>
        <w:gridCol w:w="1288"/>
        <w:gridCol w:w="1717"/>
        <w:gridCol w:w="1673"/>
        <w:gridCol w:w="1528"/>
        <w:gridCol w:w="1172"/>
      </w:tblGrid>
      <w:tr w:rsidR="00211208" w:rsidRPr="0097161F" w14:paraId="5C1E38FE" w14:textId="77777777" w:rsidTr="00211208">
        <w:trPr>
          <w:trHeight w:val="23"/>
        </w:trPr>
        <w:tc>
          <w:tcPr>
            <w:tcW w:w="1047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702" w:type="pct"/>
            <w:gridSpan w:val="2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917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893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816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626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211208">
        <w:trPr>
          <w:trHeight w:val="23"/>
        </w:trPr>
        <w:tc>
          <w:tcPr>
            <w:tcW w:w="104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702" w:type="pct"/>
            <w:gridSpan w:val="2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91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89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Piano delle alienazioni e valorizzazioni</w:t>
            </w:r>
          </w:p>
        </w:tc>
        <w:tc>
          <w:tcPr>
            <w:tcW w:w="81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62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14:paraId="2EF2CAAE" w14:textId="77777777" w:rsidTr="00211208">
        <w:trPr>
          <w:trHeight w:val="23"/>
        </w:trPr>
        <w:tc>
          <w:tcPr>
            <w:tcW w:w="104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C60457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702" w:type="pct"/>
            <w:gridSpan w:val="2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6A16CE1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91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79DA9D18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dei beni demaniali e patrimoniali</w:t>
            </w:r>
          </w:p>
        </w:tc>
        <w:tc>
          <w:tcPr>
            <w:tcW w:w="89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52C9AC1C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Assegnazione Alloggi Edilizia Residenziale Pubblica - E.R.P.</w:t>
            </w:r>
          </w:p>
        </w:tc>
        <w:tc>
          <w:tcPr>
            <w:tcW w:w="81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DDC9AE5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62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32F0C2C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14:paraId="739617B4" w14:textId="77777777" w:rsidTr="00211208">
        <w:trPr>
          <w:trHeight w:val="23"/>
        </w:trPr>
        <w:tc>
          <w:tcPr>
            <w:tcW w:w="104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3562EC2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702" w:type="pct"/>
            <w:gridSpan w:val="2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C4C8F23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91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701BF034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89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ADAE775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Concessione a titolo gratuito delle sale e immobili del patrimonio comunale</w:t>
            </w:r>
          </w:p>
        </w:tc>
        <w:tc>
          <w:tcPr>
            <w:tcW w:w="81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AEE7B59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62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9FEEB4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14:paraId="4490658D" w14:textId="77777777" w:rsidTr="00211208">
        <w:trPr>
          <w:trHeight w:val="23"/>
        </w:trPr>
        <w:tc>
          <w:tcPr>
            <w:tcW w:w="104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01844B5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702" w:type="pct"/>
            <w:gridSpan w:val="2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E10B863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91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027E5F46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dei beni demaniali e patrimoniali</w:t>
            </w:r>
          </w:p>
        </w:tc>
        <w:tc>
          <w:tcPr>
            <w:tcW w:w="89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4519A179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Voltura nei contratti di locazione per gli immobili di Edilizia Residenziale Pubblica (ERP)</w:t>
            </w:r>
          </w:p>
        </w:tc>
        <w:tc>
          <w:tcPr>
            <w:tcW w:w="81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3547CC6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62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B436BE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14:paraId="76E77792" w14:textId="77777777" w:rsidTr="00211208">
        <w:trPr>
          <w:trHeight w:val="23"/>
        </w:trPr>
        <w:tc>
          <w:tcPr>
            <w:tcW w:w="104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294A5C4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702" w:type="pct"/>
            <w:gridSpan w:val="2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A83E59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 xml:space="preserve">Servizi istituzionali, generali e di </w:t>
            </w:r>
            <w:r w:rsidRPr="007137E0">
              <w:rPr>
                <w:rFonts w:ascii="Arial" w:hAnsi="Arial"/>
                <w:bCs/>
                <w:color w:val="000000"/>
                <w:lang w:eastAsia="ja-JP"/>
              </w:rPr>
              <w:lastRenderedPageBreak/>
              <w:t>gestione</w:t>
            </w:r>
          </w:p>
        </w:tc>
        <w:tc>
          <w:tcPr>
            <w:tcW w:w="91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106CB6C6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Servizi istituzionali, generali e di </w:t>
            </w:r>
            <w:r w:rsidRPr="007137E0">
              <w:rPr>
                <w:rFonts w:ascii="Arial" w:hAnsi="Arial"/>
              </w:rPr>
              <w:lastRenderedPageBreak/>
              <w:t>gestione: Gestione economica, finanziaria, programmazione e provveditorato</w:t>
            </w:r>
          </w:p>
        </w:tc>
        <w:tc>
          <w:tcPr>
            <w:tcW w:w="89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35AC869F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Vendita beni patrimonio disponibile </w:t>
            </w:r>
            <w:r w:rsidRPr="007137E0">
              <w:rPr>
                <w:rFonts w:ascii="Arial" w:hAnsi="Arial"/>
                <w:color w:val="000000"/>
              </w:rPr>
              <w:lastRenderedPageBreak/>
              <w:t>mediante asta pubblica</w:t>
            </w:r>
          </w:p>
        </w:tc>
        <w:tc>
          <w:tcPr>
            <w:tcW w:w="81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B5608C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B) Affidamento di lavori, servizi </w:t>
            </w:r>
            <w:r w:rsidRPr="007137E0">
              <w:rPr>
                <w:rFonts w:ascii="Arial" w:hAnsi="Arial"/>
              </w:rPr>
              <w:lastRenderedPageBreak/>
              <w:t>e forniture - Scelta del contraente e contratti pubblici</w:t>
            </w:r>
          </w:p>
        </w:tc>
        <w:tc>
          <w:tcPr>
            <w:tcW w:w="62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745AC14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Patrimonio</w:t>
            </w:r>
          </w:p>
        </w:tc>
      </w:tr>
      <w:tr w:rsidR="00AA54A1" w:rsidRPr="007137E0" w14:paraId="4FA4BC0F" w14:textId="77777777" w:rsidTr="00211208">
        <w:trPr>
          <w:trHeight w:val="23"/>
        </w:trPr>
        <w:tc>
          <w:tcPr>
            <w:tcW w:w="104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8E302F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702" w:type="pct"/>
            <w:gridSpan w:val="2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7F693EE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91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995DA24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89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44DE7843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Gestione canoni demaniali</w:t>
            </w:r>
          </w:p>
        </w:tc>
        <w:tc>
          <w:tcPr>
            <w:tcW w:w="81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5B86C5F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62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F223DAC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14:paraId="4B419EC5" w14:textId="77777777" w:rsidTr="00211208">
        <w:trPr>
          <w:trHeight w:val="23"/>
        </w:trPr>
        <w:tc>
          <w:tcPr>
            <w:tcW w:w="104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DCF7DB6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702" w:type="pct"/>
            <w:gridSpan w:val="2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C16AF66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91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D538E55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89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9882825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Procedure di accatastamento immobili</w:t>
            </w:r>
          </w:p>
        </w:tc>
        <w:tc>
          <w:tcPr>
            <w:tcW w:w="81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7790867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62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9444615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14:paraId="147567CF" w14:textId="77777777" w:rsidTr="00211208">
        <w:trPr>
          <w:trHeight w:val="23"/>
        </w:trPr>
        <w:tc>
          <w:tcPr>
            <w:tcW w:w="104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F74D13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702" w:type="pct"/>
            <w:gridSpan w:val="2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F8C2405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91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E4EAE42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89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1B7FD6AC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Registrazione movimenti inventariali</w:t>
            </w:r>
          </w:p>
        </w:tc>
        <w:tc>
          <w:tcPr>
            <w:tcW w:w="81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25B3CE9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62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13C6181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14:paraId="3CB2BED6" w14:textId="77777777" w:rsidTr="00211208">
        <w:trPr>
          <w:trHeight w:val="23"/>
        </w:trPr>
        <w:tc>
          <w:tcPr>
            <w:tcW w:w="104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71C30C9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702" w:type="pct"/>
            <w:gridSpan w:val="2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F887EE4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91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0278ABA7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89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A5DC955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Concessioni canali demaniali irrigui</w:t>
            </w:r>
          </w:p>
        </w:tc>
        <w:tc>
          <w:tcPr>
            <w:tcW w:w="81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B01AD68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62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A662BF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14:paraId="5B4F9185" w14:textId="77777777" w:rsidTr="00211208">
        <w:trPr>
          <w:trHeight w:val="23"/>
        </w:trPr>
        <w:tc>
          <w:tcPr>
            <w:tcW w:w="104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04FF27B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702" w:type="pct"/>
            <w:gridSpan w:val="2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6163141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91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1C6C328D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89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DDC1DF1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Rimborso spese utenze immobili in locazione</w:t>
            </w:r>
          </w:p>
        </w:tc>
        <w:tc>
          <w:tcPr>
            <w:tcW w:w="81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07594C6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62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9D92AE6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14:paraId="00526440" w14:textId="77777777" w:rsidTr="00211208">
        <w:trPr>
          <w:trHeight w:val="23"/>
        </w:trPr>
        <w:tc>
          <w:tcPr>
            <w:tcW w:w="104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68E8A10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702" w:type="pct"/>
            <w:gridSpan w:val="2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5534D1E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 xml:space="preserve">Servizi istituzionali, generali e di </w:t>
            </w:r>
            <w:r w:rsidRPr="007137E0">
              <w:rPr>
                <w:rFonts w:ascii="Arial" w:hAnsi="Arial"/>
                <w:bCs/>
                <w:color w:val="000000"/>
                <w:lang w:eastAsia="ja-JP"/>
              </w:rPr>
              <w:lastRenderedPageBreak/>
              <w:t>gestione</w:t>
            </w:r>
          </w:p>
        </w:tc>
        <w:tc>
          <w:tcPr>
            <w:tcW w:w="91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17C278C7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Assetto del territorio ed edilizia abitativa: </w:t>
            </w:r>
            <w:r w:rsidRPr="007137E0">
              <w:rPr>
                <w:rFonts w:ascii="Arial" w:hAnsi="Arial"/>
              </w:rPr>
              <w:lastRenderedPageBreak/>
              <w:t>Edilizia residenziale pubblica e locale e piani di edilizia economico-popolare</w:t>
            </w:r>
          </w:p>
        </w:tc>
        <w:tc>
          <w:tcPr>
            <w:tcW w:w="89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1AA02DF5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Locazione </w:t>
            </w:r>
            <w:r w:rsidRPr="007137E0">
              <w:rPr>
                <w:rFonts w:ascii="Arial" w:hAnsi="Arial"/>
                <w:color w:val="000000"/>
              </w:rPr>
              <w:lastRenderedPageBreak/>
              <w:t>immobili urbani</w:t>
            </w:r>
          </w:p>
        </w:tc>
        <w:tc>
          <w:tcPr>
            <w:tcW w:w="81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E0FC44F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E) Gestione delle entrate, delle spese e </w:t>
            </w:r>
            <w:r w:rsidRPr="007137E0">
              <w:rPr>
                <w:rFonts w:ascii="Arial" w:hAnsi="Arial"/>
              </w:rPr>
              <w:lastRenderedPageBreak/>
              <w:t>del patrimonio</w:t>
            </w:r>
          </w:p>
        </w:tc>
        <w:tc>
          <w:tcPr>
            <w:tcW w:w="62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DEAB5F0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Patrimonio</w:t>
            </w:r>
          </w:p>
        </w:tc>
      </w:tr>
      <w:tr w:rsidR="00AA54A1" w:rsidRPr="007137E0" w14:paraId="53CA7003" w14:textId="77777777" w:rsidTr="00211208">
        <w:trPr>
          <w:trHeight w:val="23"/>
        </w:trPr>
        <w:tc>
          <w:tcPr>
            <w:tcW w:w="104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3DC973B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702" w:type="pct"/>
            <w:gridSpan w:val="2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0A2A42C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91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A81303C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89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39243834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Pareri congruita' canoni locazioni passive</w:t>
            </w:r>
          </w:p>
        </w:tc>
        <w:tc>
          <w:tcPr>
            <w:tcW w:w="81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D8CE487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62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127ED60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14:paraId="3EFAC66D" w14:textId="77777777" w:rsidTr="00211208">
        <w:trPr>
          <w:trHeight w:val="1657"/>
        </w:trPr>
        <w:tc>
          <w:tcPr>
            <w:tcW w:w="104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83811C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702" w:type="pct"/>
            <w:gridSpan w:val="2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A0E242E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917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4B8ED758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dei beni demaniali e patrimoniali</w:t>
            </w:r>
          </w:p>
        </w:tc>
        <w:tc>
          <w:tcPr>
            <w:tcW w:w="89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41E8349E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Custodia e sorveglianza immobili</w:t>
            </w:r>
          </w:p>
        </w:tc>
        <w:tc>
          <w:tcPr>
            <w:tcW w:w="81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4376F96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626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DC08D54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211208" w14:paraId="32309272" w14:textId="77777777" w:rsidTr="00211208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1062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hideMark/>
          </w:tcPr>
          <w:p w14:paraId="73F20EA6" w14:textId="77777777" w:rsidR="00211208" w:rsidRDefault="00211208">
            <w:pPr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Processo di supporto</w:t>
            </w:r>
          </w:p>
        </w:tc>
        <w:tc>
          <w:tcPr>
            <w:tcW w:w="6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hideMark/>
          </w:tcPr>
          <w:p w14:paraId="2828E9EC" w14:textId="77777777" w:rsidR="00211208" w:rsidRDefault="00211208">
            <w:pPr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91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99"/>
            <w:hideMark/>
          </w:tcPr>
          <w:p w14:paraId="44A2C0B3" w14:textId="77777777" w:rsidR="00211208" w:rsidRDefault="00211208">
            <w:pPr>
              <w:spacing w:before="100" w:after="100"/>
              <w:rPr>
                <w:rFonts w:ascii="Arial" w:hAnsi="Arial"/>
              </w:rPr>
            </w:pPr>
            <w:r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89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hideMark/>
          </w:tcPr>
          <w:p w14:paraId="32C7752F" w14:textId="77777777" w:rsidR="00211208" w:rsidRDefault="00211208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Acquisti ed alienazioni immobiliari, relative permute, appalti e concessioni che non siano previsti espressamente in atti fondamentali del consiglio o che non ne costituiscano mera esecuzione e che, comunque, non rientrino nella ordinaria amministrazione di funzioni e servizi di competenza della Giunta, del Segretario Generale o di altri funzionari</w:t>
            </w:r>
          </w:p>
        </w:tc>
        <w:tc>
          <w:tcPr>
            <w:tcW w:w="8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14:paraId="28E763F8" w14:textId="77777777" w:rsidR="00211208" w:rsidRDefault="00211208">
            <w:pPr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62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14:paraId="4FF2D70B" w14:textId="77777777" w:rsidR="00211208" w:rsidRDefault="00211208">
            <w:pPr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Patrimonio</w:t>
            </w:r>
          </w:p>
        </w:tc>
        <w:bookmarkStart w:id="0" w:name="_GoBack"/>
        <w:bookmarkEnd w:id="0"/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e' subordinata all'accertamento della presenza del RISCHIO DI CORRUZIONE. Si ha rischio di corruzione quando il potere conferito puo', anche solo astrattamente, essere esercitato con abuso, </w:t>
      </w:r>
      <w:r w:rsidRPr="00155C16">
        <w:rPr>
          <w:rFonts w:ascii="Arial" w:hAnsi="Arial"/>
          <w:sz w:val="16"/>
          <w:szCs w:val="16"/>
        </w:rPr>
        <w:lastRenderedPageBreak/>
        <w:t>da parte dei soggetti a cui e' affidato, al fine di ottenere vantaggi privati per se' o altri soggetti particolari. Il RISCHIO e' collegato ad un malfunzionamento dell'amministrazione a causa dell'uso a fini privati delle funzioni attribuite. L'ANALISI, che e'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e'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1208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A1C48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48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caterina puggioni</cp:lastModifiedBy>
  <cp:revision>4</cp:revision>
  <cp:lastPrinted>1900-12-31T23:00:00Z</cp:lastPrinted>
  <dcterms:created xsi:type="dcterms:W3CDTF">2018-02-15T12:44:00Z</dcterms:created>
  <dcterms:modified xsi:type="dcterms:W3CDTF">2018-02-16T10:48:00Z</dcterms:modified>
</cp:coreProperties>
</file>